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FC" w:rsidRDefault="004D0AFC" w:rsidP="00713C5B">
      <w:pPr>
        <w:spacing w:line="480" w:lineRule="auto"/>
        <w:jc w:val="center"/>
        <w:rPr>
          <w:rFonts w:asciiTheme="majorEastAsia" w:eastAsiaTheme="majorEastAsia" w:hAnsiTheme="majorEastAsia"/>
          <w:b/>
          <w:color w:val="FF0000"/>
          <w:w w:val="50"/>
          <w:sz w:val="96"/>
          <w:szCs w:val="96"/>
        </w:rPr>
      </w:pPr>
    </w:p>
    <w:p w:rsidR="00191FBF" w:rsidRDefault="00E154C5" w:rsidP="00713C5B">
      <w:pPr>
        <w:spacing w:line="480" w:lineRule="auto"/>
        <w:jc w:val="center"/>
        <w:rPr>
          <w:rFonts w:asciiTheme="majorEastAsia" w:eastAsiaTheme="majorEastAsia" w:hAnsiTheme="majorEastAsia"/>
          <w:b/>
          <w:color w:val="FF0000"/>
          <w:w w:val="50"/>
          <w:sz w:val="96"/>
          <w:szCs w:val="96"/>
        </w:rPr>
      </w:pPr>
      <w:r w:rsidRPr="006D511F">
        <w:rPr>
          <w:rFonts w:asciiTheme="majorEastAsia" w:eastAsiaTheme="majorEastAsia" w:hAnsiTheme="majorEastAsia" w:hint="eastAsia"/>
          <w:b/>
          <w:color w:val="FF0000"/>
          <w:w w:val="50"/>
          <w:sz w:val="96"/>
          <w:szCs w:val="96"/>
        </w:rPr>
        <w:t>杭州电子科技大学人文与法学院文件</w:t>
      </w:r>
    </w:p>
    <w:p w:rsidR="00713C5B" w:rsidRDefault="00713C5B" w:rsidP="00713C5B">
      <w:pPr>
        <w:spacing w:line="480" w:lineRule="auto"/>
        <w:jc w:val="center"/>
        <w:rPr>
          <w:rFonts w:ascii="楷体" w:eastAsia="楷体" w:hAnsi="楷体"/>
          <w:sz w:val="32"/>
          <w:szCs w:val="32"/>
        </w:rPr>
      </w:pPr>
    </w:p>
    <w:p w:rsidR="006D511F" w:rsidRPr="00475CC2" w:rsidRDefault="006D511F" w:rsidP="00713C5B">
      <w:pPr>
        <w:spacing w:line="480" w:lineRule="auto"/>
        <w:jc w:val="center"/>
        <w:rPr>
          <w:rFonts w:ascii="仿宋_GB2312" w:eastAsia="仿宋_GB2312" w:hAnsi="仿宋_GB2312" w:cs="仿宋_GB2312"/>
          <w:sz w:val="28"/>
          <w:szCs w:val="24"/>
        </w:rPr>
      </w:pPr>
      <w:r w:rsidRPr="00475CC2">
        <w:rPr>
          <w:rFonts w:ascii="仿宋_GB2312" w:eastAsia="仿宋_GB2312" w:hAnsi="仿宋_GB2312" w:cs="仿宋_GB2312" w:hint="eastAsia"/>
          <w:sz w:val="28"/>
          <w:szCs w:val="24"/>
        </w:rPr>
        <w:t>人文[2017]9号</w:t>
      </w:r>
    </w:p>
    <w:p w:rsidR="00713C5B" w:rsidRDefault="00713C5B" w:rsidP="00713C5B">
      <w:pPr>
        <w:spacing w:line="480" w:lineRule="auto"/>
        <w:jc w:val="center"/>
        <w:rPr>
          <w:rFonts w:asciiTheme="majorEastAsia" w:eastAsiaTheme="majorEastAsia" w:hAnsiTheme="majorEastAsia"/>
          <w:b/>
          <w:color w:val="FF0000"/>
          <w:w w:val="50"/>
          <w:sz w:val="24"/>
          <w:szCs w:val="24"/>
          <w:u w:val="thick" w:color="FF0000"/>
        </w:rPr>
      </w:pPr>
      <w:r>
        <w:rPr>
          <w:rFonts w:asciiTheme="majorEastAsia" w:eastAsiaTheme="majorEastAsia" w:hAnsiTheme="majorEastAsia" w:hint="eastAsia"/>
          <w:b/>
          <w:color w:val="FF0000"/>
          <w:w w:val="50"/>
          <w:sz w:val="24"/>
          <w:szCs w:val="24"/>
        </w:rPr>
        <w:t>_</w:t>
      </w:r>
      <w:r w:rsidRPr="00713C5B">
        <w:rPr>
          <w:rFonts w:asciiTheme="majorEastAsia" w:eastAsiaTheme="majorEastAsia" w:hAnsiTheme="majorEastAsia" w:hint="eastAsia"/>
          <w:b/>
          <w:color w:val="FF0000"/>
          <w:w w:val="50"/>
          <w:sz w:val="24"/>
          <w:szCs w:val="24"/>
          <w:u w:val="thick" w:color="FF0000"/>
        </w:rPr>
        <w:t>____________________________________________________________________________________________________________________</w:t>
      </w:r>
    </w:p>
    <w:p w:rsidR="00C54F6B" w:rsidRDefault="00713C5B" w:rsidP="00713C5B">
      <w:pPr>
        <w:jc w:val="center"/>
        <w:rPr>
          <w:rFonts w:ascii="宋体" w:eastAsia="宋体" w:hAnsi="宋体" w:cs="宋体"/>
          <w:sz w:val="44"/>
          <w:szCs w:val="44"/>
        </w:rPr>
      </w:pPr>
      <w:r w:rsidRPr="00C54F6B">
        <w:rPr>
          <w:rFonts w:ascii="宋体" w:eastAsia="宋体" w:hAnsi="宋体" w:cs="宋体" w:hint="eastAsia"/>
          <w:sz w:val="44"/>
          <w:szCs w:val="44"/>
        </w:rPr>
        <w:t>人文与法学院校友创新发展专项基金</w:t>
      </w:r>
    </w:p>
    <w:p w:rsidR="00713C5B" w:rsidRPr="00C54F6B" w:rsidRDefault="00713C5B" w:rsidP="00713C5B">
      <w:pPr>
        <w:jc w:val="center"/>
        <w:rPr>
          <w:rFonts w:ascii="宋体" w:eastAsia="宋体" w:hAnsi="宋体" w:cs="宋体"/>
          <w:sz w:val="44"/>
          <w:szCs w:val="44"/>
        </w:rPr>
      </w:pPr>
      <w:r w:rsidRPr="00C54F6B">
        <w:rPr>
          <w:rFonts w:ascii="宋体" w:eastAsia="宋体" w:hAnsi="宋体" w:cs="宋体" w:hint="eastAsia"/>
          <w:sz w:val="44"/>
          <w:szCs w:val="44"/>
        </w:rPr>
        <w:t>管理办法</w:t>
      </w:r>
    </w:p>
    <w:p w:rsidR="00C54F6B" w:rsidRDefault="00C54F6B" w:rsidP="00C54F6B">
      <w:pPr>
        <w:spacing w:line="240" w:lineRule="atLeast"/>
        <w:ind w:firstLineChars="200" w:firstLine="640"/>
        <w:jc w:val="center"/>
        <w:rPr>
          <w:rFonts w:ascii="仿宋" w:eastAsia="仿宋" w:hAnsi="仿宋" w:cs="仿宋_GB2312"/>
          <w:sz w:val="32"/>
          <w:szCs w:val="32"/>
        </w:rPr>
      </w:pPr>
    </w:p>
    <w:p w:rsidR="00713C5B" w:rsidRPr="00C54F6B" w:rsidRDefault="00713C5B" w:rsidP="00C54F6B">
      <w:pPr>
        <w:spacing w:line="240" w:lineRule="atLeast"/>
        <w:ind w:firstLineChars="200" w:firstLine="643"/>
        <w:jc w:val="center"/>
        <w:rPr>
          <w:rFonts w:ascii="仿宋" w:eastAsia="仿宋" w:hAnsi="仿宋" w:cs="仿宋_GB2312"/>
          <w:b/>
          <w:sz w:val="32"/>
          <w:szCs w:val="32"/>
        </w:rPr>
      </w:pPr>
      <w:r w:rsidRPr="00C54F6B">
        <w:rPr>
          <w:rFonts w:ascii="仿宋" w:eastAsia="仿宋" w:hAnsi="仿宋" w:cs="仿宋_GB2312" w:hint="eastAsia"/>
          <w:b/>
          <w:sz w:val="32"/>
          <w:szCs w:val="32"/>
        </w:rPr>
        <w:t>第一章 总 则</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第一条  十九大报告指出建设教育强国是中华民族伟大复兴的基础工程，并提出科教兴国战略、人才强国战略、创新驱动发展战略等七个战略，建设高水平大学已成为教育强国的重要载体。为了进一步鼓励在教学、科研、管理等方面勇于创新、敢于实践的</w:t>
      </w:r>
      <w:r w:rsidR="004C1326">
        <w:rPr>
          <w:rFonts w:ascii="仿宋" w:eastAsia="仿宋" w:hAnsi="仿宋" w:cs="仿宋_GB2312" w:hint="eastAsia"/>
          <w:sz w:val="32"/>
          <w:szCs w:val="32"/>
        </w:rPr>
        <w:t>优秀教师和管理团队，促进学院各项工作的快速发展，特设立本基金。</w:t>
      </w:r>
      <w:bookmarkStart w:id="0" w:name="_GoBack"/>
      <w:bookmarkEnd w:id="0"/>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第二条 校友专项基金是校友为资助本院师生进行创新创业而设立的专项基金，包括</w:t>
      </w:r>
      <w:proofErr w:type="gramStart"/>
      <w:r w:rsidR="00B76735">
        <w:rPr>
          <w:rFonts w:ascii="仿宋" w:eastAsia="仿宋" w:hAnsi="仿宋" w:cs="仿宋_GB2312" w:hint="eastAsia"/>
          <w:sz w:val="32"/>
          <w:szCs w:val="32"/>
        </w:rPr>
        <w:t>操应旺</w:t>
      </w:r>
      <w:proofErr w:type="gramEnd"/>
      <w:r w:rsidR="00B76735">
        <w:rPr>
          <w:rFonts w:ascii="仿宋" w:eastAsia="仿宋" w:hAnsi="仿宋" w:cs="仿宋_GB2312" w:hint="eastAsia"/>
          <w:sz w:val="32"/>
          <w:szCs w:val="32"/>
        </w:rPr>
        <w:t>校友</w:t>
      </w:r>
      <w:r w:rsidRPr="00C54F6B">
        <w:rPr>
          <w:rFonts w:ascii="仿宋" w:eastAsia="仿宋" w:hAnsi="仿宋" w:cs="仿宋_GB2312" w:hint="eastAsia"/>
          <w:sz w:val="32"/>
          <w:szCs w:val="32"/>
        </w:rPr>
        <w:t>创新发展基金等，自 2017年开始实施。</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第三条 校友专项基金经费主要来源于校友捐赠。</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第四条 校友专项基金管理委员会负责校友基金的受理</w:t>
      </w:r>
      <w:r w:rsidRPr="00C54F6B">
        <w:rPr>
          <w:rFonts w:ascii="仿宋" w:eastAsia="仿宋" w:hAnsi="仿宋" w:cs="仿宋_GB2312" w:hint="eastAsia"/>
          <w:sz w:val="32"/>
          <w:szCs w:val="32"/>
        </w:rPr>
        <w:lastRenderedPageBreak/>
        <w:t>申请、组织评审、实施、管理和验收。</w:t>
      </w:r>
    </w:p>
    <w:p w:rsidR="00713C5B" w:rsidRPr="00C54F6B" w:rsidRDefault="00713C5B" w:rsidP="00C54F6B">
      <w:pPr>
        <w:spacing w:line="240" w:lineRule="atLeast"/>
        <w:ind w:firstLineChars="200" w:firstLine="643"/>
        <w:jc w:val="center"/>
        <w:rPr>
          <w:rFonts w:ascii="仿宋" w:eastAsia="仿宋" w:hAnsi="仿宋" w:cs="仿宋_GB2312"/>
          <w:b/>
          <w:sz w:val="32"/>
          <w:szCs w:val="32"/>
        </w:rPr>
      </w:pPr>
      <w:r w:rsidRPr="00C54F6B">
        <w:rPr>
          <w:rFonts w:ascii="仿宋" w:eastAsia="仿宋" w:hAnsi="仿宋" w:cs="仿宋_GB2312" w:hint="eastAsia"/>
          <w:b/>
          <w:sz w:val="32"/>
          <w:szCs w:val="32"/>
        </w:rPr>
        <w:t>第二章 申 请</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第五条 校友专项基金的申请对象是人文与法学院全体在校师生。具体申请对象根据每种基金的设立性质而定。</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第六条 申请者应符合本办法要求并具备以下条件：</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（一）申请人均为我</w:t>
      </w:r>
      <w:r w:rsidR="00D60C23">
        <w:rPr>
          <w:rFonts w:ascii="仿宋" w:eastAsia="仿宋" w:hAnsi="仿宋" w:cs="仿宋_GB2312" w:hint="eastAsia"/>
          <w:sz w:val="32"/>
          <w:szCs w:val="32"/>
        </w:rPr>
        <w:t>院</w:t>
      </w:r>
      <w:r w:rsidRPr="00C54F6B">
        <w:rPr>
          <w:rFonts w:ascii="仿宋" w:eastAsia="仿宋" w:hAnsi="仿宋" w:cs="仿宋_GB2312" w:hint="eastAsia"/>
          <w:sz w:val="32"/>
          <w:szCs w:val="32"/>
        </w:rPr>
        <w:t>在册的教师、本科生、研究生，具有良好的教风、学风和科研道德。</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（二）校友发展基金以项目形式申请，同一项目或成果仅能申请一次。</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（三）申请校友发展基金项目及其研究内容应与申请者所在学科及其研究方向一致。</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第七条 申请者须按规定的内容与要求填写相应基金项目申报书。</w:t>
      </w:r>
    </w:p>
    <w:p w:rsidR="00713C5B" w:rsidRPr="00C54F6B" w:rsidRDefault="00713C5B" w:rsidP="00C54F6B">
      <w:pPr>
        <w:spacing w:line="240" w:lineRule="atLeast"/>
        <w:ind w:firstLineChars="200" w:firstLine="643"/>
        <w:jc w:val="center"/>
        <w:rPr>
          <w:rFonts w:ascii="仿宋" w:eastAsia="仿宋" w:hAnsi="仿宋" w:cs="仿宋_GB2312"/>
          <w:b/>
          <w:sz w:val="32"/>
          <w:szCs w:val="32"/>
        </w:rPr>
      </w:pPr>
      <w:r w:rsidRPr="00C54F6B">
        <w:rPr>
          <w:rFonts w:ascii="仿宋" w:eastAsia="仿宋" w:hAnsi="仿宋" w:cs="仿宋_GB2312" w:hint="eastAsia"/>
          <w:b/>
          <w:sz w:val="32"/>
          <w:szCs w:val="32"/>
        </w:rPr>
        <w:t>第三章 评审与立项</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第八条 校友专项基金管理委员会对申请材料进行形式审查，有以下情况之一者，不予评审：</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（一）不符合申请条件；</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（二）项目研究内容不属于资助范围；</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（三）不按规定要求填写申请书；</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（四）提供的材料不齐全。</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第九条 经形式审查合格的申请项目，由校友专项基金管理委员会组织专家组进行评审，并经公示后予以立项。</w:t>
      </w:r>
    </w:p>
    <w:p w:rsidR="00713C5B" w:rsidRPr="00C54F6B" w:rsidRDefault="00713C5B" w:rsidP="00C54F6B">
      <w:pPr>
        <w:spacing w:line="240" w:lineRule="atLeast"/>
        <w:ind w:firstLineChars="200" w:firstLine="643"/>
        <w:jc w:val="center"/>
        <w:rPr>
          <w:rFonts w:ascii="仿宋" w:eastAsia="仿宋" w:hAnsi="仿宋" w:cs="仿宋_GB2312"/>
          <w:sz w:val="32"/>
          <w:szCs w:val="32"/>
        </w:rPr>
      </w:pPr>
      <w:r w:rsidRPr="00C54F6B">
        <w:rPr>
          <w:rFonts w:ascii="仿宋" w:eastAsia="仿宋" w:hAnsi="仿宋" w:cs="仿宋_GB2312" w:hint="eastAsia"/>
          <w:b/>
          <w:sz w:val="32"/>
          <w:szCs w:val="32"/>
        </w:rPr>
        <w:lastRenderedPageBreak/>
        <w:t>第四章 实施、管理和验收</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第十条 校友专项基金项目一经批准立项，项目承担者要确保项目按时完成，不得无故变更与中止。如遇特殊情况，要求变更与中止项目研究的，需提交书面报告说明理由，</w:t>
      </w:r>
      <w:proofErr w:type="gramStart"/>
      <w:r w:rsidRPr="00C54F6B">
        <w:rPr>
          <w:rFonts w:ascii="仿宋" w:eastAsia="仿宋" w:hAnsi="仿宋" w:cs="仿宋_GB2312" w:hint="eastAsia"/>
          <w:sz w:val="32"/>
          <w:szCs w:val="32"/>
        </w:rPr>
        <w:t>报基金</w:t>
      </w:r>
      <w:proofErr w:type="gramEnd"/>
      <w:r w:rsidRPr="00C54F6B">
        <w:rPr>
          <w:rFonts w:ascii="仿宋" w:eastAsia="仿宋" w:hAnsi="仿宋" w:cs="仿宋_GB2312" w:hint="eastAsia"/>
          <w:sz w:val="32"/>
          <w:szCs w:val="32"/>
        </w:rPr>
        <w:t>管理委员会批准。</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第十一条 校友专项基金项目分为教师项目和学生项目，研究周期一般均为一年。具体资助项目和资助金额根据各专项基金管理办法确定。</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第十二条 校友专项基金项目经费实行专款专用。资助项目的支出严格按照《杭州电子科技大学教育发展基金会财务管理办法（试行）》（</w:t>
      </w:r>
      <w:proofErr w:type="gramStart"/>
      <w:r w:rsidRPr="00C54F6B">
        <w:rPr>
          <w:rFonts w:ascii="仿宋" w:eastAsia="仿宋" w:hAnsi="仿宋" w:cs="仿宋_GB2312" w:hint="eastAsia"/>
          <w:sz w:val="32"/>
          <w:szCs w:val="32"/>
        </w:rPr>
        <w:t>杭电基</w:t>
      </w:r>
      <w:proofErr w:type="gramEnd"/>
      <w:r w:rsidRPr="00C54F6B">
        <w:rPr>
          <w:rFonts w:ascii="仿宋" w:eastAsia="仿宋" w:hAnsi="仿宋" w:cs="仿宋_GB2312" w:hint="eastAsia"/>
          <w:sz w:val="32"/>
          <w:szCs w:val="32"/>
        </w:rPr>
        <w:t>〔2017〕001 号）文件执行，由专项基金项目负责人审批签字后支出。经费报销时应以“杭州电子科技大学教育发展基金会”开头，报销范围为：</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（一）图书资料费；</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（二）论文发表版面费（中文非核心期刊的版面费不予报销）；</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（三）调研差旅费；</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（四）参加学术会议费；</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（五）打印、复印费及邮寄费；</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（六）其他与项目研究有关的合理费用。</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第十三条 校友专项基金项目申请验收时，应填写相应的验收报告，并提供能证明项目研究完成情况的复印件一份，</w:t>
      </w:r>
      <w:r w:rsidRPr="00C54F6B">
        <w:rPr>
          <w:rFonts w:ascii="仿宋" w:eastAsia="仿宋" w:hAnsi="仿宋" w:cs="仿宋_GB2312" w:hint="eastAsia"/>
          <w:sz w:val="32"/>
          <w:szCs w:val="32"/>
        </w:rPr>
        <w:lastRenderedPageBreak/>
        <w:t>由学院校友基金</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管理委员会予以审核、验收。</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第十四条 校友专项基金项目申请获得立项后，项目承担人有义务参加学校、学院（或社会公益组织）组织的社会公益活动。</w:t>
      </w:r>
    </w:p>
    <w:p w:rsidR="00713C5B" w:rsidRPr="00C54F6B" w:rsidRDefault="00713C5B" w:rsidP="00C54F6B">
      <w:pPr>
        <w:spacing w:line="240" w:lineRule="atLeast"/>
        <w:ind w:firstLineChars="200" w:firstLine="643"/>
        <w:jc w:val="center"/>
        <w:rPr>
          <w:rFonts w:ascii="仿宋" w:eastAsia="仿宋" w:hAnsi="仿宋" w:cs="仿宋_GB2312"/>
          <w:b/>
          <w:sz w:val="32"/>
          <w:szCs w:val="32"/>
        </w:rPr>
      </w:pPr>
      <w:r w:rsidRPr="00C54F6B">
        <w:rPr>
          <w:rFonts w:ascii="仿宋" w:eastAsia="仿宋" w:hAnsi="仿宋" w:cs="仿宋_GB2312" w:hint="eastAsia"/>
          <w:b/>
          <w:sz w:val="32"/>
          <w:szCs w:val="32"/>
        </w:rPr>
        <w:t>第五章 附 则</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第十五条 本办法由学院校友发展基金管理委员会负责解释。</w:t>
      </w:r>
    </w:p>
    <w:p w:rsidR="00713C5B" w:rsidRPr="00C54F6B" w:rsidRDefault="00713C5B" w:rsidP="00C54F6B">
      <w:pPr>
        <w:spacing w:line="240" w:lineRule="atLeast"/>
        <w:ind w:firstLineChars="200" w:firstLine="640"/>
        <w:jc w:val="left"/>
        <w:rPr>
          <w:rFonts w:ascii="仿宋" w:eastAsia="仿宋" w:hAnsi="仿宋" w:cs="仿宋_GB2312"/>
          <w:sz w:val="32"/>
          <w:szCs w:val="32"/>
        </w:rPr>
      </w:pPr>
      <w:r w:rsidRPr="00C54F6B">
        <w:rPr>
          <w:rFonts w:ascii="仿宋" w:eastAsia="仿宋" w:hAnsi="仿宋" w:cs="仿宋_GB2312" w:hint="eastAsia"/>
          <w:sz w:val="32"/>
          <w:szCs w:val="32"/>
        </w:rPr>
        <w:t>第十六条 本办法自发布之日起施行，如学校有关规定与本办法相冲突的，以学校相关规定为准</w:t>
      </w:r>
    </w:p>
    <w:p w:rsidR="004D0AFC" w:rsidRDefault="004D0AFC" w:rsidP="00C54F6B">
      <w:pPr>
        <w:spacing w:line="240" w:lineRule="atLeast"/>
        <w:ind w:firstLineChars="200" w:firstLine="640"/>
        <w:jc w:val="left"/>
        <w:rPr>
          <w:rFonts w:ascii="仿宋" w:eastAsia="仿宋" w:hAnsi="仿宋" w:cs="仿宋_GB2312"/>
          <w:sz w:val="32"/>
          <w:szCs w:val="32"/>
        </w:rPr>
      </w:pPr>
    </w:p>
    <w:p w:rsidR="004D0AFC" w:rsidRDefault="004D0AFC" w:rsidP="004D0AFC">
      <w:pPr>
        <w:autoSpaceDE w:val="0"/>
        <w:autoSpaceDN w:val="0"/>
        <w:adjustRightInd w:val="0"/>
        <w:spacing w:line="360" w:lineRule="auto"/>
        <w:jc w:val="right"/>
        <w:rPr>
          <w:rFonts w:ascii="仿宋" w:eastAsia="仿宋" w:hAnsi="仿宋" w:cs="仿宋_GB2312"/>
          <w:sz w:val="32"/>
          <w:szCs w:val="32"/>
        </w:rPr>
      </w:pPr>
      <w:r>
        <w:rPr>
          <w:rFonts w:ascii="仿宋" w:eastAsia="仿宋" w:hAnsi="仿宋" w:cs="仿宋_GB2312" w:hint="eastAsia"/>
          <w:sz w:val="32"/>
          <w:szCs w:val="32"/>
        </w:rPr>
        <w:t>人文与法学院</w:t>
      </w:r>
    </w:p>
    <w:p w:rsidR="004D0AFC" w:rsidRPr="004D0AFC" w:rsidRDefault="004D0AFC" w:rsidP="004D0AFC">
      <w:pPr>
        <w:autoSpaceDE w:val="0"/>
        <w:autoSpaceDN w:val="0"/>
        <w:adjustRightInd w:val="0"/>
        <w:spacing w:line="360" w:lineRule="auto"/>
        <w:jc w:val="right"/>
        <w:rPr>
          <w:rFonts w:ascii="仿宋" w:eastAsia="仿宋" w:hAnsi="仿宋" w:cs="仿宋_GB2312"/>
          <w:sz w:val="32"/>
          <w:szCs w:val="32"/>
        </w:rPr>
      </w:pPr>
      <w:r w:rsidRPr="004D0AFC">
        <w:rPr>
          <w:rFonts w:ascii="仿宋" w:eastAsia="仿宋" w:hAnsi="仿宋" w:cs="仿宋_GB2312" w:hint="eastAsia"/>
          <w:sz w:val="32"/>
          <w:szCs w:val="32"/>
        </w:rPr>
        <w:t>二〇一</w:t>
      </w:r>
      <w:r>
        <w:rPr>
          <w:rFonts w:ascii="仿宋" w:eastAsia="仿宋" w:hAnsi="仿宋" w:cs="仿宋_GB2312" w:hint="eastAsia"/>
          <w:sz w:val="32"/>
          <w:szCs w:val="32"/>
        </w:rPr>
        <w:t>七</w:t>
      </w:r>
      <w:r w:rsidRPr="004D0AFC">
        <w:rPr>
          <w:rFonts w:ascii="仿宋" w:eastAsia="仿宋" w:hAnsi="仿宋" w:cs="仿宋_GB2312" w:hint="eastAsia"/>
          <w:sz w:val="32"/>
          <w:szCs w:val="32"/>
        </w:rPr>
        <w:t>年</w:t>
      </w:r>
      <w:r>
        <w:rPr>
          <w:rFonts w:ascii="仿宋" w:eastAsia="仿宋" w:hAnsi="仿宋" w:cs="仿宋_GB2312" w:hint="eastAsia"/>
          <w:sz w:val="32"/>
          <w:szCs w:val="32"/>
        </w:rPr>
        <w:t>十一</w:t>
      </w:r>
      <w:r w:rsidRPr="004D0AFC">
        <w:rPr>
          <w:rFonts w:ascii="仿宋" w:eastAsia="仿宋" w:hAnsi="仿宋" w:cs="仿宋_GB2312" w:hint="eastAsia"/>
          <w:sz w:val="32"/>
          <w:szCs w:val="32"/>
        </w:rPr>
        <w:t>月十一日</w:t>
      </w:r>
    </w:p>
    <w:p w:rsidR="004D0AFC" w:rsidRPr="004D0AFC" w:rsidRDefault="004D0AFC" w:rsidP="00475CC2">
      <w:pPr>
        <w:spacing w:line="480" w:lineRule="auto"/>
        <w:jc w:val="center"/>
        <w:rPr>
          <w:rFonts w:asciiTheme="majorEastAsia" w:eastAsiaTheme="majorEastAsia" w:hAnsiTheme="majorEastAsia"/>
          <w:b/>
          <w:color w:val="FF0000"/>
          <w:w w:val="50"/>
          <w:sz w:val="96"/>
          <w:szCs w:val="96"/>
        </w:rPr>
      </w:pPr>
    </w:p>
    <w:p w:rsidR="004D0AFC" w:rsidRDefault="004D0AFC" w:rsidP="00475CC2">
      <w:pPr>
        <w:spacing w:line="480" w:lineRule="auto"/>
        <w:jc w:val="center"/>
        <w:rPr>
          <w:rFonts w:asciiTheme="majorEastAsia" w:eastAsiaTheme="majorEastAsia" w:hAnsiTheme="majorEastAsia"/>
          <w:b/>
          <w:color w:val="FF0000"/>
          <w:w w:val="50"/>
          <w:sz w:val="96"/>
          <w:szCs w:val="96"/>
        </w:rPr>
      </w:pPr>
    </w:p>
    <w:p w:rsidR="004D0AFC" w:rsidRDefault="004D0AFC" w:rsidP="00475CC2">
      <w:pPr>
        <w:spacing w:line="480" w:lineRule="auto"/>
        <w:jc w:val="center"/>
        <w:rPr>
          <w:rFonts w:asciiTheme="majorEastAsia" w:eastAsiaTheme="majorEastAsia" w:hAnsiTheme="majorEastAsia"/>
          <w:b/>
          <w:color w:val="FF0000"/>
          <w:w w:val="50"/>
          <w:sz w:val="96"/>
          <w:szCs w:val="96"/>
        </w:rPr>
      </w:pPr>
    </w:p>
    <w:p w:rsidR="004D0AFC" w:rsidRPr="004D0AFC" w:rsidRDefault="004D0AFC" w:rsidP="004D0AFC">
      <w:pPr>
        <w:autoSpaceDE w:val="0"/>
        <w:autoSpaceDN w:val="0"/>
        <w:adjustRightInd w:val="0"/>
        <w:spacing w:line="360" w:lineRule="auto"/>
        <w:jc w:val="right"/>
        <w:rPr>
          <w:rFonts w:ascii="仿宋_GB2312" w:eastAsia="仿宋_GB2312" w:hAnsi="仿宋_GB2312" w:cs="仿宋_GB2312"/>
          <w:sz w:val="32"/>
          <w:szCs w:val="32"/>
        </w:rPr>
      </w:pPr>
    </w:p>
    <w:p w:rsidR="004D0AFC" w:rsidRPr="004D0AFC" w:rsidRDefault="004D0AFC" w:rsidP="004D0AFC">
      <w:pPr>
        <w:autoSpaceDE w:val="0"/>
        <w:autoSpaceDN w:val="0"/>
        <w:adjustRightInd w:val="0"/>
        <w:spacing w:line="360" w:lineRule="auto"/>
        <w:jc w:val="left"/>
        <w:rPr>
          <w:rFonts w:ascii="仿宋" w:eastAsia="仿宋" w:hAnsi="仿宋" w:cs="仿宋_GB2312"/>
          <w:sz w:val="32"/>
          <w:szCs w:val="32"/>
        </w:rPr>
      </w:pPr>
      <w:r w:rsidRPr="004D0AFC">
        <w:rPr>
          <w:rFonts w:ascii="黑体" w:eastAsia="黑体" w:hAnsi="黑体" w:cs="宋体" w:hint="eastAsia"/>
          <w:b/>
          <w:color w:val="000000"/>
          <w:kern w:val="0"/>
          <w:sz w:val="32"/>
          <w:szCs w:val="32"/>
        </w:rPr>
        <w:t>主题词：</w:t>
      </w:r>
      <w:r w:rsidRPr="004D0AFC">
        <w:rPr>
          <w:rFonts w:ascii="宋体" w:eastAsia="宋体" w:hAnsi="宋体" w:cs="宋体" w:hint="eastAsia"/>
          <w:color w:val="000000"/>
          <w:kern w:val="0"/>
          <w:sz w:val="32"/>
          <w:szCs w:val="32"/>
        </w:rPr>
        <w:t xml:space="preserve">校友  </w:t>
      </w:r>
      <w:r>
        <w:rPr>
          <w:rFonts w:ascii="宋体" w:eastAsia="宋体" w:hAnsi="宋体" w:cs="宋体" w:hint="eastAsia"/>
          <w:color w:val="000000"/>
          <w:kern w:val="0"/>
          <w:sz w:val="32"/>
          <w:szCs w:val="32"/>
        </w:rPr>
        <w:t>基金</w:t>
      </w:r>
      <w:r w:rsidRPr="004D0AFC">
        <w:rPr>
          <w:rFonts w:ascii="宋体" w:eastAsia="宋体" w:hAnsi="宋体" w:cs="宋体" w:hint="eastAsia"/>
          <w:color w:val="000000"/>
          <w:kern w:val="0"/>
          <w:sz w:val="32"/>
          <w:szCs w:val="32"/>
        </w:rPr>
        <w:t xml:space="preserve"> </w:t>
      </w:r>
      <w:r>
        <w:rPr>
          <w:rFonts w:ascii="宋体" w:eastAsia="宋体" w:hAnsi="宋体" w:cs="宋体" w:hint="eastAsia"/>
          <w:color w:val="000000"/>
          <w:kern w:val="0"/>
          <w:sz w:val="32"/>
          <w:szCs w:val="32"/>
        </w:rPr>
        <w:t xml:space="preserve"> 管理办法</w:t>
      </w:r>
    </w:p>
    <w:tbl>
      <w:tblPr>
        <w:tblW w:w="0" w:type="auto"/>
        <w:tblInd w:w="108" w:type="dxa"/>
        <w:tblBorders>
          <w:top w:val="single" w:sz="4" w:space="0" w:color="auto"/>
        </w:tblBorders>
        <w:tblLayout w:type="fixed"/>
        <w:tblLook w:val="0000" w:firstRow="0" w:lastRow="0" w:firstColumn="0" w:lastColumn="0" w:noHBand="0" w:noVBand="0"/>
      </w:tblPr>
      <w:tblGrid>
        <w:gridCol w:w="7740"/>
      </w:tblGrid>
      <w:tr w:rsidR="004D0AFC" w:rsidRPr="004D0AFC" w:rsidTr="00424562">
        <w:trPr>
          <w:trHeight w:val="514"/>
        </w:trPr>
        <w:tc>
          <w:tcPr>
            <w:tcW w:w="7740" w:type="dxa"/>
            <w:tcBorders>
              <w:top w:val="single" w:sz="4" w:space="0" w:color="auto"/>
              <w:left w:val="nil"/>
              <w:bottom w:val="single" w:sz="4" w:space="0" w:color="auto"/>
              <w:right w:val="nil"/>
            </w:tcBorders>
          </w:tcPr>
          <w:p w:rsidR="004D0AFC" w:rsidRPr="004D0AFC" w:rsidRDefault="004D0AFC" w:rsidP="004D0AFC">
            <w:pPr>
              <w:spacing w:line="400" w:lineRule="exact"/>
              <w:ind w:rightChars="-222" w:right="-466"/>
              <w:rPr>
                <w:rFonts w:ascii="仿宋" w:eastAsia="仿宋" w:hAnsi="仿宋" w:cs="Times New Roman"/>
                <w:bCs/>
                <w:sz w:val="28"/>
                <w:szCs w:val="28"/>
              </w:rPr>
            </w:pPr>
            <w:r w:rsidRPr="004D0AFC">
              <w:rPr>
                <w:rFonts w:ascii="仿宋" w:eastAsia="仿宋" w:hAnsi="仿宋" w:cs="仿宋_GB2312" w:hint="eastAsia"/>
                <w:sz w:val="32"/>
                <w:szCs w:val="32"/>
              </w:rPr>
              <w:t>人文与法学院                201</w:t>
            </w:r>
            <w:r>
              <w:rPr>
                <w:rFonts w:ascii="仿宋" w:eastAsia="仿宋" w:hAnsi="仿宋" w:cs="仿宋_GB2312" w:hint="eastAsia"/>
                <w:sz w:val="32"/>
                <w:szCs w:val="32"/>
              </w:rPr>
              <w:t>7</w:t>
            </w:r>
            <w:r w:rsidRPr="004D0AFC">
              <w:rPr>
                <w:rFonts w:ascii="仿宋" w:eastAsia="仿宋" w:hAnsi="仿宋" w:cs="仿宋_GB2312" w:hint="eastAsia"/>
                <w:sz w:val="32"/>
                <w:szCs w:val="32"/>
              </w:rPr>
              <w:t>年</w:t>
            </w:r>
            <w:r>
              <w:rPr>
                <w:rFonts w:ascii="仿宋" w:eastAsia="仿宋" w:hAnsi="仿宋" w:cs="仿宋_GB2312" w:hint="eastAsia"/>
                <w:sz w:val="32"/>
                <w:szCs w:val="32"/>
              </w:rPr>
              <w:t>11</w:t>
            </w:r>
            <w:r w:rsidRPr="004D0AFC">
              <w:rPr>
                <w:rFonts w:ascii="仿宋" w:eastAsia="仿宋" w:hAnsi="仿宋" w:cs="仿宋_GB2312" w:hint="eastAsia"/>
                <w:sz w:val="32"/>
                <w:szCs w:val="32"/>
              </w:rPr>
              <w:t>月11日印发</w:t>
            </w:r>
            <w:r w:rsidRPr="004D0AFC">
              <w:rPr>
                <w:rFonts w:ascii="仿宋" w:eastAsia="仿宋" w:hAnsi="仿宋" w:cs="Times New Roman"/>
                <w:bCs/>
                <w:sz w:val="28"/>
                <w:szCs w:val="28"/>
              </w:rPr>
              <w:t xml:space="preserve">                </w:t>
            </w:r>
          </w:p>
        </w:tc>
      </w:tr>
    </w:tbl>
    <w:p w:rsidR="004D0AFC" w:rsidRPr="00CF5452" w:rsidRDefault="004D0AFC" w:rsidP="004D0AFC">
      <w:pPr>
        <w:rPr>
          <w:rFonts w:ascii="Times New Roman" w:eastAsia="宋体" w:hAnsi="Times New Roman" w:cs="Times New Roman"/>
          <w:szCs w:val="24"/>
        </w:rPr>
      </w:pPr>
    </w:p>
    <w:sectPr w:rsidR="004D0AFC" w:rsidRPr="00CF5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86D" w:rsidRDefault="00CE386D" w:rsidP="00E154C5">
      <w:r>
        <w:separator/>
      </w:r>
    </w:p>
  </w:endnote>
  <w:endnote w:type="continuationSeparator" w:id="0">
    <w:p w:rsidR="00CE386D" w:rsidRDefault="00CE386D" w:rsidP="00E1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86D" w:rsidRDefault="00CE386D" w:rsidP="00E154C5">
      <w:r>
        <w:separator/>
      </w:r>
    </w:p>
  </w:footnote>
  <w:footnote w:type="continuationSeparator" w:id="0">
    <w:p w:rsidR="00CE386D" w:rsidRDefault="00CE386D" w:rsidP="00E1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4"/>
    <w:rsid w:val="000B75FA"/>
    <w:rsid w:val="00145937"/>
    <w:rsid w:val="001676A8"/>
    <w:rsid w:val="00191FBF"/>
    <w:rsid w:val="001B6FE6"/>
    <w:rsid w:val="001D2A5F"/>
    <w:rsid w:val="00200FE2"/>
    <w:rsid w:val="00264DEE"/>
    <w:rsid w:val="002F3C5F"/>
    <w:rsid w:val="003767C6"/>
    <w:rsid w:val="00390B4E"/>
    <w:rsid w:val="003F0D66"/>
    <w:rsid w:val="00405718"/>
    <w:rsid w:val="00475CC2"/>
    <w:rsid w:val="004C1326"/>
    <w:rsid w:val="004D0AFC"/>
    <w:rsid w:val="004F18A5"/>
    <w:rsid w:val="004F42F4"/>
    <w:rsid w:val="005402BA"/>
    <w:rsid w:val="00556FAF"/>
    <w:rsid w:val="006242CB"/>
    <w:rsid w:val="006754F4"/>
    <w:rsid w:val="00677012"/>
    <w:rsid w:val="00695101"/>
    <w:rsid w:val="00695674"/>
    <w:rsid w:val="006B29C6"/>
    <w:rsid w:val="006D511F"/>
    <w:rsid w:val="00713C5B"/>
    <w:rsid w:val="007161D8"/>
    <w:rsid w:val="00727ED7"/>
    <w:rsid w:val="00732AFC"/>
    <w:rsid w:val="007519EE"/>
    <w:rsid w:val="00771890"/>
    <w:rsid w:val="0078254E"/>
    <w:rsid w:val="00785DA6"/>
    <w:rsid w:val="00835A8B"/>
    <w:rsid w:val="008849B4"/>
    <w:rsid w:val="00890BF5"/>
    <w:rsid w:val="008B5E3C"/>
    <w:rsid w:val="008F69C6"/>
    <w:rsid w:val="00931AC1"/>
    <w:rsid w:val="00957E76"/>
    <w:rsid w:val="009A3300"/>
    <w:rsid w:val="009C5DE5"/>
    <w:rsid w:val="00A00A78"/>
    <w:rsid w:val="00A62768"/>
    <w:rsid w:val="00B32219"/>
    <w:rsid w:val="00B76735"/>
    <w:rsid w:val="00C02FED"/>
    <w:rsid w:val="00C34DC2"/>
    <w:rsid w:val="00C54F6B"/>
    <w:rsid w:val="00C57BD6"/>
    <w:rsid w:val="00C812F7"/>
    <w:rsid w:val="00CB11F0"/>
    <w:rsid w:val="00CD5BD0"/>
    <w:rsid w:val="00CE386D"/>
    <w:rsid w:val="00CF5452"/>
    <w:rsid w:val="00D60C23"/>
    <w:rsid w:val="00E154C5"/>
    <w:rsid w:val="00EB5200"/>
    <w:rsid w:val="00ED6C00"/>
    <w:rsid w:val="00F22ECE"/>
    <w:rsid w:val="00F5083F"/>
    <w:rsid w:val="00F530A7"/>
    <w:rsid w:val="00F75886"/>
    <w:rsid w:val="00FB5DA2"/>
    <w:rsid w:val="00FC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C5"/>
    <w:rPr>
      <w:sz w:val="18"/>
      <w:szCs w:val="18"/>
    </w:rPr>
  </w:style>
  <w:style w:type="paragraph" w:styleId="a4">
    <w:name w:val="footer"/>
    <w:basedOn w:val="a"/>
    <w:link w:val="Char0"/>
    <w:uiPriority w:val="99"/>
    <w:unhideWhenUsed/>
    <w:rsid w:val="00E154C5"/>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C5"/>
    <w:rPr>
      <w:sz w:val="18"/>
      <w:szCs w:val="18"/>
    </w:rPr>
  </w:style>
  <w:style w:type="paragraph" w:styleId="a5">
    <w:name w:val="Balloon Text"/>
    <w:basedOn w:val="a"/>
    <w:link w:val="Char1"/>
    <w:uiPriority w:val="99"/>
    <w:semiHidden/>
    <w:unhideWhenUsed/>
    <w:rsid w:val="00B76735"/>
    <w:rPr>
      <w:sz w:val="18"/>
      <w:szCs w:val="18"/>
    </w:rPr>
  </w:style>
  <w:style w:type="character" w:customStyle="1" w:styleId="Char1">
    <w:name w:val="批注框文本 Char"/>
    <w:basedOn w:val="a0"/>
    <w:link w:val="a5"/>
    <w:uiPriority w:val="99"/>
    <w:semiHidden/>
    <w:rsid w:val="00B767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4C5"/>
    <w:rPr>
      <w:sz w:val="18"/>
      <w:szCs w:val="18"/>
    </w:rPr>
  </w:style>
  <w:style w:type="paragraph" w:styleId="a4">
    <w:name w:val="footer"/>
    <w:basedOn w:val="a"/>
    <w:link w:val="Char0"/>
    <w:uiPriority w:val="99"/>
    <w:unhideWhenUsed/>
    <w:rsid w:val="00E154C5"/>
    <w:pPr>
      <w:tabs>
        <w:tab w:val="center" w:pos="4153"/>
        <w:tab w:val="right" w:pos="8306"/>
      </w:tabs>
      <w:snapToGrid w:val="0"/>
      <w:jc w:val="left"/>
    </w:pPr>
    <w:rPr>
      <w:sz w:val="18"/>
      <w:szCs w:val="18"/>
    </w:rPr>
  </w:style>
  <w:style w:type="character" w:customStyle="1" w:styleId="Char0">
    <w:name w:val="页脚 Char"/>
    <w:basedOn w:val="a0"/>
    <w:link w:val="a4"/>
    <w:uiPriority w:val="99"/>
    <w:rsid w:val="00E154C5"/>
    <w:rPr>
      <w:sz w:val="18"/>
      <w:szCs w:val="18"/>
    </w:rPr>
  </w:style>
  <w:style w:type="paragraph" w:styleId="a5">
    <w:name w:val="Balloon Text"/>
    <w:basedOn w:val="a"/>
    <w:link w:val="Char1"/>
    <w:uiPriority w:val="99"/>
    <w:semiHidden/>
    <w:unhideWhenUsed/>
    <w:rsid w:val="00B76735"/>
    <w:rPr>
      <w:sz w:val="18"/>
      <w:szCs w:val="18"/>
    </w:rPr>
  </w:style>
  <w:style w:type="character" w:customStyle="1" w:styleId="Char1">
    <w:name w:val="批注框文本 Char"/>
    <w:basedOn w:val="a0"/>
    <w:link w:val="a5"/>
    <w:uiPriority w:val="99"/>
    <w:semiHidden/>
    <w:rsid w:val="00B767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10</cp:revision>
  <cp:lastPrinted>2018-01-10T05:45:00Z</cp:lastPrinted>
  <dcterms:created xsi:type="dcterms:W3CDTF">2018-01-05T01:31:00Z</dcterms:created>
  <dcterms:modified xsi:type="dcterms:W3CDTF">2018-01-11T06:30:00Z</dcterms:modified>
</cp:coreProperties>
</file>